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B21B7C" w14:textId="3499EB9E" w:rsidR="000F5524" w:rsidRPr="007C2FDA" w:rsidRDefault="00BC44C8" w:rsidP="00AC07BE">
      <w:pPr>
        <w:jc w:val="both"/>
        <w:rPr>
          <w:b/>
          <w:bCs/>
        </w:rPr>
      </w:pPr>
      <w:r w:rsidRPr="007C2FDA">
        <w:rPr>
          <w:b/>
          <w:bCs/>
        </w:rPr>
        <w:t xml:space="preserve">Forgatókönyv: </w:t>
      </w:r>
      <w:r w:rsidR="008544D7">
        <w:rPr>
          <w:b/>
          <w:bCs/>
        </w:rPr>
        <w:t>szellemi alkotások joga</w:t>
      </w:r>
    </w:p>
    <w:p w14:paraId="39F0AE29" w14:textId="42F64F19" w:rsidR="00C53837" w:rsidRPr="007C2FDA" w:rsidRDefault="00C53837" w:rsidP="00AC07BE">
      <w:pPr>
        <w:jc w:val="both"/>
        <w:rPr>
          <w:b/>
          <w:bCs/>
        </w:rPr>
      </w:pPr>
      <w:r w:rsidRPr="007C2FDA">
        <w:rPr>
          <w:b/>
          <w:bCs/>
        </w:rPr>
        <w:t xml:space="preserve">ppt anyag és a tankönyv </w:t>
      </w:r>
      <w:r w:rsidR="003F2F7C">
        <w:rPr>
          <w:b/>
          <w:bCs/>
        </w:rPr>
        <w:t>3</w:t>
      </w:r>
      <w:r w:rsidR="008544D7">
        <w:rPr>
          <w:b/>
          <w:bCs/>
        </w:rPr>
        <w:t>39</w:t>
      </w:r>
      <w:r w:rsidRPr="007C2FDA">
        <w:rPr>
          <w:b/>
          <w:bCs/>
        </w:rPr>
        <w:t>-</w:t>
      </w:r>
      <w:r w:rsidR="00D9175A">
        <w:rPr>
          <w:b/>
          <w:bCs/>
        </w:rPr>
        <w:t>3</w:t>
      </w:r>
      <w:r w:rsidR="008544D7">
        <w:rPr>
          <w:b/>
          <w:bCs/>
        </w:rPr>
        <w:t>53</w:t>
      </w:r>
      <w:r w:rsidRPr="007C2FDA">
        <w:rPr>
          <w:b/>
          <w:bCs/>
        </w:rPr>
        <w:t xml:space="preserve"> alapján</w:t>
      </w:r>
    </w:p>
    <w:p w14:paraId="6A969263" w14:textId="20665449" w:rsidR="00544C94" w:rsidRDefault="00544C94" w:rsidP="00AC07BE">
      <w:pPr>
        <w:jc w:val="both"/>
        <w:rPr>
          <w:b/>
          <w:bCs/>
        </w:rPr>
      </w:pPr>
    </w:p>
    <w:p w14:paraId="3F3F6B40" w14:textId="77777777" w:rsidR="00CF5DA0" w:rsidRDefault="00CF5DA0" w:rsidP="00CF5DA0">
      <w:pPr>
        <w:spacing w:after="120"/>
        <w:jc w:val="both"/>
      </w:pPr>
      <w:r>
        <w:t>Mi is az a szellemi alkotás?</w:t>
      </w:r>
    </w:p>
    <w:p w14:paraId="0B8C8023" w14:textId="77C9B0C6" w:rsidR="00CF5DA0" w:rsidRPr="00CF5DA0" w:rsidRDefault="00CF5DA0" w:rsidP="00CF5DA0">
      <w:pPr>
        <w:spacing w:after="120"/>
        <w:jc w:val="both"/>
      </w:pPr>
      <w:r>
        <w:t>Olyan alkotások, amelyek egyrészt a törvény erejénél fogva jogi védelmet élveznek, másrészt azok az alkotások és műszaki megoldások, amelyek megfelelnek azon iparjogvédelmi előírásoknak, ami alapján oltalomban részesülhetnek avagy védett ismeretnek számítanak</w:t>
      </w:r>
      <w:r w:rsidRPr="00CF5DA0">
        <w:t>.</w:t>
      </w:r>
    </w:p>
    <w:p w14:paraId="68776AE1" w14:textId="77777777" w:rsidR="00C200C2" w:rsidRDefault="00CF5DA0" w:rsidP="00CF5DA0">
      <w:pPr>
        <w:spacing w:after="120"/>
        <w:jc w:val="both"/>
      </w:pPr>
      <w:r>
        <w:t xml:space="preserve">A jogi védelem célja az alkotó ember – mindegy, hogy milyen területen tevékenykedik – személyéhez kapcsolódó vagyoni </w:t>
      </w:r>
      <w:r w:rsidR="00C200C2">
        <w:t>érdekeinek védelme</w:t>
      </w:r>
      <w:r>
        <w:t xml:space="preserve">, azért, hogy </w:t>
      </w:r>
      <w:r w:rsidR="00C200C2">
        <w:t xml:space="preserve">szabadon kibontakoztathassa </w:t>
      </w:r>
      <w:r>
        <w:t>a kreat</w:t>
      </w:r>
      <w:r w:rsidR="00C200C2">
        <w:t>i</w:t>
      </w:r>
      <w:r>
        <w:t>v</w:t>
      </w:r>
      <w:r w:rsidR="00C200C2">
        <w:t>itását, ami</w:t>
      </w:r>
      <w:r>
        <w:t xml:space="preserve"> </w:t>
      </w:r>
      <w:r w:rsidR="00C200C2">
        <w:t>végeredményben mindenki javát szolgálja, akár a műszaki/gazdasági haladás, akár tudományt vagy az emberiség egyéb szellemi igényeinek a kielégítését.</w:t>
      </w:r>
    </w:p>
    <w:p w14:paraId="528D39BD" w14:textId="77777777" w:rsidR="00C200C2" w:rsidRDefault="00C200C2" w:rsidP="00CF5DA0">
      <w:pPr>
        <w:spacing w:after="120"/>
        <w:jc w:val="both"/>
      </w:pPr>
      <w:r>
        <w:t xml:space="preserve">Ezzel a területtel egyrészt a szerzői jog foglalkozik, amely </w:t>
      </w:r>
      <w:r w:rsidRPr="00C200C2">
        <w:t>az irodalom, a tudomány és a művészet körébe tartozó alkotások létrehozásá</w:t>
      </w:r>
      <w:r>
        <w:t>nak és</w:t>
      </w:r>
      <w:r w:rsidRPr="00C200C2">
        <w:t xml:space="preserve"> felhasználásának</w:t>
      </w:r>
      <w:r w:rsidRPr="00C200C2">
        <w:t xml:space="preserve"> </w:t>
      </w:r>
      <w:r>
        <w:t>a jogi szabályozását adja.</w:t>
      </w:r>
    </w:p>
    <w:p w14:paraId="6B0DD48F" w14:textId="77777777" w:rsidR="004339B7" w:rsidRDefault="00C200C2" w:rsidP="00CF5DA0">
      <w:pPr>
        <w:spacing w:after="120"/>
        <w:jc w:val="both"/>
      </w:pPr>
      <w:r>
        <w:t xml:space="preserve">Másrészt az iparjogvédelem területe sorolható ide, </w:t>
      </w:r>
      <w:r w:rsidR="004339B7">
        <w:t>aminek a keretében a műszaki-gazdasági alkotások</w:t>
      </w:r>
      <w:r>
        <w:t xml:space="preserve"> </w:t>
      </w:r>
      <w:r w:rsidR="004339B7">
        <w:t>részesülhetnek védelemben.</w:t>
      </w:r>
    </w:p>
    <w:p w14:paraId="10BC4A17" w14:textId="38ED834C" w:rsidR="00CF5DA0" w:rsidRDefault="004339B7" w:rsidP="00CF5DA0">
      <w:pPr>
        <w:spacing w:after="120"/>
        <w:jc w:val="both"/>
      </w:pPr>
      <w:r>
        <w:t>Mind a kettő esetben a</w:t>
      </w:r>
      <w:r w:rsidR="00CF5DA0" w:rsidRPr="00CF5DA0">
        <w:t xml:space="preserve"> tulajdonjoghoz hasonló abszolút szerkezetű</w:t>
      </w:r>
      <w:r>
        <w:t xml:space="preserve"> </w:t>
      </w:r>
      <w:r w:rsidR="00CF5DA0" w:rsidRPr="00CF5DA0">
        <w:t>jogviszony</w:t>
      </w:r>
      <w:r>
        <w:t>ról van szó, azaz csak az egyik fél</w:t>
      </w:r>
      <w:r w:rsidR="0053562A">
        <w:t xml:space="preserve">, a jogosult </w:t>
      </w:r>
      <w:r>
        <w:t xml:space="preserve">(szerző, feltaláló stb.) van nevesítve és mindenki más vele szemben </w:t>
      </w:r>
      <w:r w:rsidR="0053562A">
        <w:t>kötelezett (jelen esetben negatív kötelezettséggel bír: tartózkodnia kell a jogosult jogainak megsértésétől). A szerzői jog és az iparjogi védelmi jogszabályok a szellemi alkotások létrehozóinak úgy nyújt védelmet, hogy k</w:t>
      </w:r>
      <w:r w:rsidR="00CF5DA0" w:rsidRPr="00CF5DA0">
        <w:t>izárólagos vagyoni és személyhez fűződő jogok</w:t>
      </w:r>
      <w:r w:rsidR="0053562A">
        <w:t xml:space="preserve">at </w:t>
      </w:r>
      <w:r w:rsidR="00CF5DA0" w:rsidRPr="00CF5DA0">
        <w:t>biztosít</w:t>
      </w:r>
      <w:r w:rsidR="0053562A">
        <w:t xml:space="preserve"> számukra.</w:t>
      </w:r>
    </w:p>
    <w:p w14:paraId="0AD2C6D1" w14:textId="1AB3907E" w:rsidR="0053562A" w:rsidRDefault="0053562A" w:rsidP="0053562A">
      <w:pPr>
        <w:spacing w:after="120"/>
        <w:jc w:val="both"/>
      </w:pPr>
      <w:r>
        <w:t xml:space="preserve">A szerzői jog területén ez a védelem már magával az alkotás létrejöttével megilleti a szerzőt, ha megfelel 3 kritériumnak: </w:t>
      </w:r>
      <w:r w:rsidRPr="0053562A">
        <w:t xml:space="preserve">a </w:t>
      </w:r>
      <w:r>
        <w:t xml:space="preserve">szerzői mű tartalmazzon </w:t>
      </w:r>
      <w:r w:rsidRPr="0053562A">
        <w:t>emberileg felfogható, értehető gondolat</w:t>
      </w:r>
      <w:r>
        <w:t>ot</w:t>
      </w:r>
      <w:r w:rsidRPr="0053562A">
        <w:t xml:space="preserve"> (minimálkövetelmény)</w:t>
      </w:r>
      <w:r>
        <w:t xml:space="preserve">. legyen </w:t>
      </w:r>
      <w:r w:rsidRPr="0053562A">
        <w:t>egyéni és eredeti</w:t>
      </w:r>
      <w:r>
        <w:t xml:space="preserve">, végül pedig általában </w:t>
      </w:r>
      <w:r w:rsidRPr="0053562A">
        <w:t>legyen rögzített</w:t>
      </w:r>
      <w:r>
        <w:t xml:space="preserve"> </w:t>
      </w:r>
      <w:r w:rsidRPr="0053562A">
        <w:t>(egyes műfajoknál lehetnek kivételek)</w:t>
      </w:r>
      <w:r>
        <w:t>.</w:t>
      </w:r>
    </w:p>
    <w:p w14:paraId="0AFF6DEB" w14:textId="15027B9E" w:rsidR="00DC1568" w:rsidRDefault="0053562A" w:rsidP="0053562A">
      <w:pPr>
        <w:spacing w:after="120"/>
        <w:jc w:val="both"/>
      </w:pPr>
      <w:r>
        <w:t>Az iparjogvédelem területe jogilag heterogénebb, azaz több jogterület is érintve van. Az i</w:t>
      </w:r>
      <w:r w:rsidR="00DC1568">
        <w:t>p</w:t>
      </w:r>
      <w:r>
        <w:t>arjo</w:t>
      </w:r>
      <w:r w:rsidR="00DC1568">
        <w:t>g</w:t>
      </w:r>
      <w:r>
        <w:t>védelem körébe soroljuk a találmányokat, az ipari és a formatervezési mintákat</w:t>
      </w:r>
      <w:r w:rsidR="00DC1568">
        <w:t>, az árújelzőket és a növényfajtákat. Jogilag nem ide sorolandó, de tartalmilag ide tartozik a védett ismeret, azaz a know-how is.</w:t>
      </w:r>
    </w:p>
    <w:p w14:paraId="75BAE924" w14:textId="2F2ABE94" w:rsidR="0053562A" w:rsidRDefault="00DC1568" w:rsidP="0053562A">
      <w:pPr>
        <w:spacing w:after="120"/>
        <w:jc w:val="both"/>
      </w:pPr>
      <w:r>
        <w:t xml:space="preserve">Az jogi védelem azonos a két terület </w:t>
      </w:r>
      <w:r>
        <w:t>vonatkozásában</w:t>
      </w:r>
      <w:r>
        <w:t>, hogy az alkotás létrehozóját személyi jogok és vagyoni jogok tekintetében is megilleti a védelem. Míg az</w:t>
      </w:r>
      <w:r>
        <w:t xml:space="preserve"> </w:t>
      </w:r>
      <w:r>
        <w:t xml:space="preserve">alapvető különbség, hogy az iparjogvédelem területén nyilvántartásba vétellel ún. lajstromozással lehet jogi védelmet </w:t>
      </w:r>
      <w:r>
        <w:t>(oltalomnak nevezzük)</w:t>
      </w:r>
      <w:r>
        <w:t xml:space="preserve"> szerezni.</w:t>
      </w:r>
    </w:p>
    <w:p w14:paraId="15DDFC99" w14:textId="24D10956" w:rsidR="00DC1568" w:rsidRDefault="00DC1568" w:rsidP="0053562A">
      <w:pPr>
        <w:spacing w:after="120"/>
        <w:jc w:val="both"/>
      </w:pPr>
      <w:r>
        <w:t>Nézzük meg a szerzői jogvédelem egy példáján keresztül, mit is takarnak (általánosságban, főszabályként) a személyhez kapcsolódó jogok, illetve a vagyoni jogok, és hogy milyen korlátok érvényesülnek ezek vonatkozásában.</w:t>
      </w:r>
    </w:p>
    <w:p w14:paraId="025FF2CD" w14:textId="2ABA9FB3" w:rsidR="00DC1568" w:rsidRDefault="00DC1568" w:rsidP="0053562A">
      <w:pPr>
        <w:spacing w:after="120"/>
        <w:jc w:val="both"/>
      </w:pPr>
      <w:r>
        <w:t>A szerzői jogvédelem 3 fő területe: 1) a szűk értelemben vett szerzői jogok, 2) a szomszédos jogok (amely a szerzői jogi mű létrehozásával</w:t>
      </w:r>
      <w:r w:rsidR="008805C0">
        <w:t>,</w:t>
      </w:r>
      <w:r>
        <w:t xml:space="preserve"> forgalmazásával </w:t>
      </w:r>
      <w:r w:rsidR="008805C0">
        <w:t>és</w:t>
      </w:r>
      <w:r>
        <w:t xml:space="preserve"> </w:t>
      </w:r>
      <w:r>
        <w:lastRenderedPageBreak/>
        <w:t>közvetítésé</w:t>
      </w:r>
      <w:r w:rsidR="008805C0">
        <w:t xml:space="preserve">vel kapcsolatos tevékenységet folytatók védelmét jelenti, pl. az előadó művészekét), illetve 3) a sui generis adatbázist </w:t>
      </w:r>
      <w:r w:rsidR="008805C0">
        <w:t>létrehozók védelme</w:t>
      </w:r>
      <w:r w:rsidR="008805C0">
        <w:t xml:space="preserve"> (olyan adatbázis</w:t>
      </w:r>
      <w:r w:rsidR="008805C0" w:rsidRPr="008805C0">
        <w:t>, amelynek összeállítása egyéni, eredeti jellegű szerkesztői</w:t>
      </w:r>
      <w:r w:rsidR="008805C0">
        <w:t xml:space="preserve"> tevékenységet, esetlegesen anyagi ráfordítást igényel).</w:t>
      </w:r>
    </w:p>
    <w:p w14:paraId="4CDB02CB" w14:textId="37BFF148" w:rsidR="008805C0" w:rsidRDefault="008805C0" w:rsidP="008805C0">
      <w:pPr>
        <w:spacing w:after="120"/>
        <w:jc w:val="both"/>
      </w:pPr>
      <w:r>
        <w:t>A szerzőt tehát személyéhez fűződő jogok illetik meg, ami 4 területen jelentkezik: a szerző rendelkezhet arról, hogy</w:t>
      </w:r>
      <w:r w:rsidRPr="008805C0">
        <w:t xml:space="preserve"> nyilvánosságra hoz</w:t>
      </w:r>
      <w:r>
        <w:t>za-e a művét, azt visszavonja-e, megilleti őt a neve</w:t>
      </w:r>
      <w:r w:rsidRPr="008805C0">
        <w:t xml:space="preserve"> feltüntetésének joga</w:t>
      </w:r>
      <w:r>
        <w:t xml:space="preserve">, valamint </w:t>
      </w:r>
      <w:r w:rsidRPr="008805C0">
        <w:t>a mű egységének védelme (integritás</w:t>
      </w:r>
      <w:r>
        <w:t>: azaz ne húzzanak ki belőle, ne írjanak hozzá vagy változtassák meg</w:t>
      </w:r>
      <w:r w:rsidRPr="008805C0">
        <w:t>)</w:t>
      </w:r>
      <w:r>
        <w:t>.</w:t>
      </w:r>
    </w:p>
    <w:p w14:paraId="5998253B" w14:textId="17D9DBE5" w:rsidR="008805C0" w:rsidRDefault="008805C0" w:rsidP="008805C0">
      <w:pPr>
        <w:spacing w:after="120"/>
        <w:jc w:val="both"/>
      </w:pPr>
      <w:r>
        <w:t xml:space="preserve">Az őt megillető vagyoni jog pedig </w:t>
      </w:r>
      <w:r w:rsidRPr="008805C0">
        <w:t xml:space="preserve">a mű egészének vagy egy azonosítható részének </w:t>
      </w:r>
      <w:r>
        <w:t xml:space="preserve">a </w:t>
      </w:r>
      <w:r w:rsidRPr="008805C0">
        <w:t>bármilyen felhasználásár</w:t>
      </w:r>
      <w:r>
        <w:t>ának a kizárólagos jog</w:t>
      </w:r>
      <w:r w:rsidRPr="008805C0">
        <w:t>a.</w:t>
      </w:r>
      <w:r>
        <w:t xml:space="preserve"> Erről jogról </w:t>
      </w:r>
      <w:r w:rsidR="00C83043">
        <w:t xml:space="preserve">kizárólag ő </w:t>
      </w:r>
      <w:r>
        <w:t>rendelkezh</w:t>
      </w:r>
      <w:r w:rsidR="00C83043">
        <w:t>et, azaz pl. egy felhasználási szerződéssel díjazás ellenében másnak átengedheti ezt a jogát. A felhasználás lehet pl. a többszörözés, előadás, megfilmesítés stb.)</w:t>
      </w:r>
    </w:p>
    <w:p w14:paraId="1504E656" w14:textId="0A752D88" w:rsidR="008805C0" w:rsidRDefault="00C83043" w:rsidP="008805C0">
      <w:pPr>
        <w:spacing w:after="120"/>
        <w:jc w:val="both"/>
      </w:pPr>
      <w:r>
        <w:t>Ennek a jognak kettő korlátja van: az egyik a védelmi idő. A szerzőt ezek a jogok az életében és a halálától számított 70 éven át illetik meg (a névfeltüntetés jogát a jogutódok is gyakorolhatják később is).</w:t>
      </w:r>
    </w:p>
    <w:p w14:paraId="7D48228E" w14:textId="21789FE4" w:rsidR="008805C0" w:rsidRPr="008805C0" w:rsidRDefault="00C83043" w:rsidP="00C83043">
      <w:pPr>
        <w:spacing w:after="120"/>
        <w:jc w:val="both"/>
      </w:pPr>
      <w:r>
        <w:t>A másik korlát a s</w:t>
      </w:r>
      <w:r w:rsidRPr="00C83043">
        <w:t>zabad felhasználás</w:t>
      </w:r>
      <w:r>
        <w:t xml:space="preserve">. Ebben az esetben </w:t>
      </w:r>
      <w:r w:rsidRPr="00C83043">
        <w:t>elismert célra, nem közvetlen haszonszerzés céljából</w:t>
      </w:r>
      <w:r>
        <w:t xml:space="preserve"> és csak </w:t>
      </w:r>
      <w:r w:rsidRPr="00C83043">
        <w:t>korlátozásokkal</w:t>
      </w:r>
      <w:r>
        <w:t xml:space="preserve"> lehet a művet felhasználni úgy, hogy ehhez nincs szükség a szerző engedélyére és nem jár neki díjazás. Ilyenkor a köz érdeke erősebb, mint a szerző vagyoni érdeke. A törvény azonban szigorúan és</w:t>
      </w:r>
      <w:r w:rsidRPr="00C83043">
        <w:t xml:space="preserve"> </w:t>
      </w:r>
      <w:r>
        <w:t>szűkkörűen taxatív felsorolással szabályozza, hogy mikor lehetséges a szabad felhasználás</w:t>
      </w:r>
      <w:r w:rsidRPr="00C83043">
        <w:t xml:space="preserve"> (pl. idézés, magáncélú másolat, iskolai célú felhasználás</w:t>
      </w:r>
      <w:r>
        <w:t>)</w:t>
      </w:r>
    </w:p>
    <w:p w14:paraId="57D35BB5" w14:textId="78A2581C" w:rsidR="008805C0" w:rsidRPr="008805C0" w:rsidRDefault="00C83043" w:rsidP="0053562A">
      <w:pPr>
        <w:spacing w:after="120"/>
        <w:jc w:val="both"/>
      </w:pPr>
      <w:r>
        <w:t xml:space="preserve">A szerző jogát (tipikusan a vagyoni jogát), ha megsértik, akkor a jog </w:t>
      </w:r>
      <w:r w:rsidR="00557A38">
        <w:t>nemcsak polgári jogi, hanem szabálysértési és/vagy büntető jogi</w:t>
      </w:r>
      <w:r w:rsidR="00557A38" w:rsidRPr="00557A38">
        <w:t xml:space="preserve"> </w:t>
      </w:r>
      <w:r w:rsidR="00557A38">
        <w:t>szankciókat</w:t>
      </w:r>
      <w:r w:rsidR="00557A38">
        <w:t xml:space="preserve"> is biztosít a szerzőnek jogai védelmében.</w:t>
      </w:r>
    </w:p>
    <w:sectPr w:rsidR="008805C0" w:rsidRPr="008805C0" w:rsidSect="00AE5CAC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8D3D83"/>
    <w:multiLevelType w:val="hybridMultilevel"/>
    <w:tmpl w:val="188C0800"/>
    <w:lvl w:ilvl="0" w:tplc="2D22C5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36EE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D80039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266E8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8C54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64446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5CE82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FAF0C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1615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DCE65DA"/>
    <w:multiLevelType w:val="hybridMultilevel"/>
    <w:tmpl w:val="733AFA54"/>
    <w:lvl w:ilvl="0" w:tplc="1A74232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C545CA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BE02CD5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6B52A9F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A9E071C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EDB8461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3336126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982695E6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20746D36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25101E6"/>
    <w:multiLevelType w:val="hybridMultilevel"/>
    <w:tmpl w:val="24A2C852"/>
    <w:lvl w:ilvl="0" w:tplc="950C6FA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936F31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CA261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924BD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5A8F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709EE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9A7D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BA64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1FE74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4C8"/>
    <w:rsid w:val="00066409"/>
    <w:rsid w:val="0007621F"/>
    <w:rsid w:val="00080B54"/>
    <w:rsid w:val="000E1493"/>
    <w:rsid w:val="000F5524"/>
    <w:rsid w:val="001F3886"/>
    <w:rsid w:val="002028B3"/>
    <w:rsid w:val="00261931"/>
    <w:rsid w:val="002641D4"/>
    <w:rsid w:val="002645D5"/>
    <w:rsid w:val="00286846"/>
    <w:rsid w:val="002A4040"/>
    <w:rsid w:val="002C71DB"/>
    <w:rsid w:val="002E6AD4"/>
    <w:rsid w:val="003C24AA"/>
    <w:rsid w:val="003F2F7C"/>
    <w:rsid w:val="004339B7"/>
    <w:rsid w:val="00443326"/>
    <w:rsid w:val="004B7F7E"/>
    <w:rsid w:val="0053562A"/>
    <w:rsid w:val="00544C94"/>
    <w:rsid w:val="00557A38"/>
    <w:rsid w:val="005672E6"/>
    <w:rsid w:val="006373E1"/>
    <w:rsid w:val="00673109"/>
    <w:rsid w:val="00692F18"/>
    <w:rsid w:val="00707586"/>
    <w:rsid w:val="007127F1"/>
    <w:rsid w:val="007C2FDA"/>
    <w:rsid w:val="00814172"/>
    <w:rsid w:val="008544D7"/>
    <w:rsid w:val="008805C0"/>
    <w:rsid w:val="00896D00"/>
    <w:rsid w:val="008A429B"/>
    <w:rsid w:val="008C4DC2"/>
    <w:rsid w:val="009759A2"/>
    <w:rsid w:val="00995689"/>
    <w:rsid w:val="009A1942"/>
    <w:rsid w:val="009D6414"/>
    <w:rsid w:val="00A35CFE"/>
    <w:rsid w:val="00A848C0"/>
    <w:rsid w:val="00AC07BE"/>
    <w:rsid w:val="00AE5CAC"/>
    <w:rsid w:val="00AF52D9"/>
    <w:rsid w:val="00BC1EAE"/>
    <w:rsid w:val="00BC44C8"/>
    <w:rsid w:val="00BC57B4"/>
    <w:rsid w:val="00BE654B"/>
    <w:rsid w:val="00BF38D4"/>
    <w:rsid w:val="00C05662"/>
    <w:rsid w:val="00C153E2"/>
    <w:rsid w:val="00C200C2"/>
    <w:rsid w:val="00C53837"/>
    <w:rsid w:val="00C83043"/>
    <w:rsid w:val="00CB4558"/>
    <w:rsid w:val="00CB6191"/>
    <w:rsid w:val="00CC1EC5"/>
    <w:rsid w:val="00CD6F6F"/>
    <w:rsid w:val="00CF5DA0"/>
    <w:rsid w:val="00D078AB"/>
    <w:rsid w:val="00D578C0"/>
    <w:rsid w:val="00D9175A"/>
    <w:rsid w:val="00DB5378"/>
    <w:rsid w:val="00DC0CCC"/>
    <w:rsid w:val="00DC1568"/>
    <w:rsid w:val="00E84A96"/>
    <w:rsid w:val="00ED01B7"/>
    <w:rsid w:val="00ED7706"/>
    <w:rsid w:val="00F70161"/>
    <w:rsid w:val="00F94FF1"/>
    <w:rsid w:val="00FF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DCAFD"/>
  <w15:chartTrackingRefBased/>
  <w15:docId w15:val="{ABE8C10F-E4A4-42A9-93EB-393ABF7A1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mic Sans MS" w:eastAsiaTheme="minorHAnsi" w:hAnsi="Comic Sans MS" w:cs="Times New Roman"/>
        <w:sz w:val="22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lang w:val="hu-HU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AC07BE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AC07BE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AC07B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50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752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122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9823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95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69341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0289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76781">
          <w:marLeft w:val="27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489448">
          <w:marLeft w:val="27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499">
          <w:marLeft w:val="27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9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57729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7100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421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414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02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ebookType xmlns="4a53bce8-ee39-4c2c-8253-74ff71b54072" xsi:nil="true"/>
    <FolderType xmlns="4a53bce8-ee39-4c2c-8253-74ff71b54072" xsi:nil="true"/>
    <Owner xmlns="4a53bce8-ee39-4c2c-8253-74ff71b54072">
      <UserInfo>
        <DisplayName/>
        <AccountId xsi:nil="true"/>
        <AccountType/>
      </UserInfo>
    </Owner>
    <Invited_Students xmlns="4a53bce8-ee39-4c2c-8253-74ff71b54072" xsi:nil="true"/>
    <Teachers xmlns="4a53bce8-ee39-4c2c-8253-74ff71b54072">
      <UserInfo>
        <DisplayName/>
        <AccountId xsi:nil="true"/>
        <AccountType/>
      </UserInfo>
    </Teachers>
    <Students xmlns="4a53bce8-ee39-4c2c-8253-74ff71b54072">
      <UserInfo>
        <DisplayName/>
        <AccountId xsi:nil="true"/>
        <AccountType/>
      </UserInfo>
    </Students>
    <Student_Groups xmlns="4a53bce8-ee39-4c2c-8253-74ff71b54072">
      <UserInfo>
        <DisplayName/>
        <AccountId xsi:nil="true"/>
        <AccountType/>
      </UserInfo>
    </Student_Groups>
    <AppVersion xmlns="4a53bce8-ee39-4c2c-8253-74ff71b54072" xsi:nil="true"/>
    <DefaultSectionNames xmlns="4a53bce8-ee39-4c2c-8253-74ff71b54072" xsi:nil="true"/>
    <Self_Registration_Enabled xmlns="4a53bce8-ee39-4c2c-8253-74ff71b54072" xsi:nil="true"/>
    <Invited_Teachers xmlns="4a53bce8-ee39-4c2c-8253-74ff71b5407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DBE0688B0A5224D997E76E526AFAA32" ma:contentTypeVersion="24" ma:contentTypeDescription="Új dokumentum létrehozása." ma:contentTypeScope="" ma:versionID="e8fd1a6c1317128af624e2a8be5c733f">
  <xsd:schema xmlns:xsd="http://www.w3.org/2001/XMLSchema" xmlns:xs="http://www.w3.org/2001/XMLSchema" xmlns:p="http://schemas.microsoft.com/office/2006/metadata/properties" xmlns:ns3="4a53bce8-ee39-4c2c-8253-74ff71b54072" xmlns:ns4="cdd061f2-1996-4775-bdd9-60dd9b3a3d76" targetNamespace="http://schemas.microsoft.com/office/2006/metadata/properties" ma:root="true" ma:fieldsID="410e466112c094100900d9a591fe3f63" ns3:_="" ns4:_="">
    <xsd:import namespace="4a53bce8-ee39-4c2c-8253-74ff71b54072"/>
    <xsd:import namespace="cdd061f2-1996-4775-bdd9-60dd9b3a3d76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AppVersion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4:SharedWithDetails" minOccurs="0"/>
                <xsd:element ref="ns4:SharedWithUsers" minOccurs="0"/>
                <xsd:element ref="ns4:SharingHintHash" minOccurs="0"/>
                <xsd:element ref="ns4:LastSharedByUser" minOccurs="0"/>
                <xsd:element ref="ns4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53bce8-ee39-4c2c-8253-74ff71b54072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Owner" ma:index="10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1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2" nillable="true" ma:displayName="App Version" ma:internalName="AppVersion">
      <xsd:simpleType>
        <xsd:restriction base="dms:Text"/>
      </xsd:simpleType>
    </xsd:element>
    <xsd:element name="Teachers" ma:index="13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4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5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6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17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18" nillable="true" ma:displayName="Self_Registration_Enabled" ma:internalName="Self_Registration_Enabled">
      <xsd:simpleType>
        <xsd:restriction base="dms:Boolean"/>
      </xsd:simpleType>
    </xsd:element>
    <xsd:element name="MediaServiceMetadata" ma:index="24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5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2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2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MediaServiceGenerationTime" ma:index="3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061f2-1996-4775-bdd9-60dd9b3a3d76" elementFormDefault="qualified">
    <xsd:import namespace="http://schemas.microsoft.com/office/2006/documentManagement/types"/>
    <xsd:import namespace="http://schemas.microsoft.com/office/infopath/2007/PartnerControls"/>
    <xsd:element name="SharedWithDetails" ma:index="19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  <xsd:element name="SharedWithUsers" ma:index="20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21" nillable="true" ma:displayName="Megosztási tipp kivonata" ma:description="" ma:hidden="true" ma:internalName="SharingHintHash" ma:readOnly="true">
      <xsd:simpleType>
        <xsd:restriction base="dms:Text"/>
      </xsd:simpleType>
    </xsd:element>
    <xsd:element name="LastSharedByUser" ma:index="22" nillable="true" ma:displayName="Utoljára megosztva felhasználók szerint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23" nillable="true" ma:displayName="Utoljára megosztva időpontok szerint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945532-CA06-4503-85D2-7F944FF16440}">
  <ds:schemaRefs>
    <ds:schemaRef ds:uri="http://schemas.microsoft.com/office/2006/metadata/properties"/>
    <ds:schemaRef ds:uri="http://schemas.microsoft.com/office/infopath/2007/PartnerControls"/>
    <ds:schemaRef ds:uri="4a53bce8-ee39-4c2c-8253-74ff71b54072"/>
  </ds:schemaRefs>
</ds:datastoreItem>
</file>

<file path=customXml/itemProps2.xml><?xml version="1.0" encoding="utf-8"?>
<ds:datastoreItem xmlns:ds="http://schemas.openxmlformats.org/officeDocument/2006/customXml" ds:itemID="{2E8F4FFC-66D8-4AE9-A3B9-3BCA0B54FF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4CDF36-06AC-4010-9EAB-955C141D37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53bce8-ee39-4c2c-8253-74ff71b54072"/>
    <ds:schemaRef ds:uri="cdd061f2-1996-4775-bdd9-60dd9b3a3d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634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Virágh Árpád</dc:creator>
  <cp:keywords/>
  <dc:description/>
  <cp:lastModifiedBy>Dr. Virágh Árpád</cp:lastModifiedBy>
  <cp:revision>3</cp:revision>
  <dcterms:created xsi:type="dcterms:W3CDTF">2020-08-01T09:54:00Z</dcterms:created>
  <dcterms:modified xsi:type="dcterms:W3CDTF">2020-08-01T11:11:00Z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0x0101008DBE0688B0A5224D997E76E526AFAA32</vt:lpwstr>
  </property>
</Properties>
</file>